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33B" w:rsidRDefault="00ED733B" w:rsidP="00ED733B">
      <w:pPr>
        <w:tabs>
          <w:tab w:val="left" w:pos="0"/>
        </w:tabs>
        <w:spacing w:after="0" w:line="24" w:lineRule="atLeast"/>
        <w:jc w:val="center"/>
        <w:rPr>
          <w:rFonts w:ascii="Times New Roman" w:hAnsi="Times New Roman" w:cs="Times New Roman"/>
          <w:b/>
          <w:sz w:val="30"/>
          <w:szCs w:val="30"/>
        </w:rPr>
      </w:pPr>
      <w:r>
        <w:rPr>
          <w:rFonts w:ascii="Times New Roman" w:hAnsi="Times New Roman" w:cs="Times New Roman"/>
          <w:b/>
          <w:sz w:val="30"/>
          <w:szCs w:val="30"/>
        </w:rPr>
        <w:t>Ph</w:t>
      </w:r>
      <w:r w:rsidRPr="00B14348">
        <w:rPr>
          <w:rFonts w:ascii="Times New Roman" w:hAnsi="Times New Roman" w:cs="Times New Roman"/>
          <w:b/>
          <w:sz w:val="30"/>
          <w:szCs w:val="30"/>
        </w:rPr>
        <w:t>ụ</w:t>
      </w:r>
      <w:r>
        <w:rPr>
          <w:rFonts w:ascii="Times New Roman" w:hAnsi="Times New Roman" w:cs="Times New Roman"/>
          <w:b/>
          <w:sz w:val="30"/>
          <w:szCs w:val="30"/>
        </w:rPr>
        <w:t xml:space="preserve"> l</w:t>
      </w:r>
      <w:r w:rsidRPr="00B14348">
        <w:rPr>
          <w:rFonts w:ascii="Times New Roman" w:hAnsi="Times New Roman" w:cs="Times New Roman"/>
          <w:b/>
          <w:sz w:val="30"/>
          <w:szCs w:val="30"/>
        </w:rPr>
        <w:t>ục</w:t>
      </w:r>
      <w:r>
        <w:rPr>
          <w:rFonts w:ascii="Times New Roman" w:hAnsi="Times New Roman" w:cs="Times New Roman"/>
          <w:b/>
          <w:sz w:val="30"/>
          <w:szCs w:val="30"/>
        </w:rPr>
        <w:t xml:space="preserve"> 01</w:t>
      </w:r>
    </w:p>
    <w:p w:rsidR="00ED733B" w:rsidRDefault="00ED733B" w:rsidP="00ED733B">
      <w:pPr>
        <w:tabs>
          <w:tab w:val="left" w:pos="0"/>
        </w:tabs>
        <w:spacing w:after="0" w:line="26" w:lineRule="atLeast"/>
        <w:jc w:val="center"/>
        <w:rPr>
          <w:rFonts w:ascii="Times New Roman" w:hAnsi="Times New Roman" w:cs="Times New Roman"/>
          <w:b/>
          <w:sz w:val="26"/>
          <w:szCs w:val="26"/>
        </w:rPr>
      </w:pPr>
      <w:r w:rsidRPr="008F2D10">
        <w:rPr>
          <w:rFonts w:ascii="Times New Roman" w:hAnsi="Times New Roman" w:cs="Times New Roman"/>
          <w:b/>
          <w:sz w:val="26"/>
          <w:szCs w:val="26"/>
        </w:rPr>
        <w:t>HÌNH THỨC QUYẾT TOÁN THUẾ TNCN</w:t>
      </w:r>
    </w:p>
    <w:p w:rsidR="00ED733B" w:rsidRPr="00341E71" w:rsidRDefault="00ED733B" w:rsidP="00ED733B">
      <w:pPr>
        <w:tabs>
          <w:tab w:val="left" w:pos="0"/>
        </w:tabs>
        <w:spacing w:after="0" w:line="26" w:lineRule="atLeast"/>
        <w:jc w:val="both"/>
        <w:rPr>
          <w:rFonts w:ascii="Times New Roman" w:eastAsia="Calibri" w:hAnsi="Times New Roman" w:cs="Times New Roman"/>
          <w:color w:val="000000"/>
          <w:sz w:val="26"/>
          <w:szCs w:val="26"/>
          <w:lang w:val="vi-VN" w:bidi="ar-SA"/>
        </w:rPr>
      </w:pPr>
      <w:r>
        <w:rPr>
          <w:rFonts w:ascii="Times New Roman" w:eastAsia="Calibri" w:hAnsi="Times New Roman" w:cs="Times New Roman"/>
          <w:color w:val="000000"/>
          <w:sz w:val="26"/>
          <w:szCs w:val="26"/>
          <w:lang w:bidi="ar-SA"/>
        </w:rPr>
        <w:tab/>
      </w:r>
      <w:r w:rsidRPr="00341E71">
        <w:rPr>
          <w:rFonts w:ascii="Times New Roman" w:eastAsia="Calibri" w:hAnsi="Times New Roman" w:cs="Times New Roman"/>
          <w:color w:val="000000"/>
          <w:sz w:val="26"/>
          <w:szCs w:val="26"/>
          <w:lang w:val="vi-VN" w:bidi="ar-SA"/>
        </w:rPr>
        <w:t>Cá nhân có thể ủy quyền quyết toán thuế hoặc trực tiếp quyết toán thuế TNCN, cụ thể:</w:t>
      </w:r>
    </w:p>
    <w:p w:rsidR="00ED733B" w:rsidRPr="008F2D10" w:rsidRDefault="00ED733B" w:rsidP="00ED733B">
      <w:pPr>
        <w:tabs>
          <w:tab w:val="left" w:pos="0"/>
        </w:tabs>
        <w:spacing w:after="0" w:line="26" w:lineRule="atLeast"/>
        <w:jc w:val="both"/>
        <w:rPr>
          <w:rFonts w:ascii="Times New Roman" w:hAnsi="Times New Roman" w:cs="Times New Roman"/>
          <w:b/>
          <w:sz w:val="26"/>
          <w:szCs w:val="26"/>
        </w:rPr>
      </w:pPr>
      <w:r w:rsidRPr="008F2D10">
        <w:rPr>
          <w:rFonts w:ascii="Times New Roman" w:hAnsi="Times New Roman" w:cs="Times New Roman"/>
          <w:b/>
          <w:sz w:val="26"/>
          <w:szCs w:val="26"/>
        </w:rPr>
        <w:t>1. Cá nhân ủy quyền quyết toán thuế qua tổ chức trả thu nhập</w:t>
      </w:r>
    </w:p>
    <w:p w:rsidR="00ED733B" w:rsidRPr="008F2D10" w:rsidRDefault="00ED733B" w:rsidP="00ED733B">
      <w:pPr>
        <w:pStyle w:val="NormalWeb"/>
        <w:spacing w:before="0" w:beforeAutospacing="0" w:after="0" w:afterAutospacing="0" w:line="26" w:lineRule="atLeast"/>
        <w:jc w:val="both"/>
        <w:rPr>
          <w:color w:val="000000"/>
          <w:sz w:val="26"/>
          <w:szCs w:val="26"/>
          <w:lang w:val="vi-VN"/>
        </w:rPr>
      </w:pPr>
      <w:r w:rsidRPr="008F2D10">
        <w:rPr>
          <w:color w:val="000000"/>
          <w:sz w:val="26"/>
          <w:szCs w:val="26"/>
        </w:rPr>
        <w:t xml:space="preserve">- </w:t>
      </w:r>
      <w:r w:rsidRPr="008F2D10">
        <w:rPr>
          <w:color w:val="000000"/>
          <w:sz w:val="26"/>
          <w:szCs w:val="26"/>
          <w:lang w:val="vi-VN"/>
        </w:rPr>
        <w:t>Cá nhân có thu nhập từ tiền lương</w:t>
      </w:r>
      <w:r w:rsidRPr="008F2D10">
        <w:rPr>
          <w:color w:val="000000"/>
          <w:sz w:val="26"/>
          <w:szCs w:val="26"/>
          <w:lang w:val="am-ET"/>
        </w:rPr>
        <w:t>,</w:t>
      </w:r>
      <w:r w:rsidRPr="008F2D10">
        <w:rPr>
          <w:color w:val="000000"/>
          <w:sz w:val="26"/>
          <w:szCs w:val="26"/>
          <w:lang w:val="vi-VN"/>
        </w:rPr>
        <w:t xml:space="preserve"> tiền công ủy quyền cho tổ chức</w:t>
      </w:r>
      <w:r w:rsidRPr="008F2D10">
        <w:rPr>
          <w:color w:val="000000"/>
          <w:sz w:val="26"/>
          <w:szCs w:val="26"/>
        </w:rPr>
        <w:t xml:space="preserve"> </w:t>
      </w:r>
      <w:r w:rsidRPr="008F2D10">
        <w:rPr>
          <w:color w:val="000000"/>
          <w:sz w:val="26"/>
          <w:szCs w:val="26"/>
          <w:lang w:val="vi-VN"/>
        </w:rPr>
        <w:t xml:space="preserve">trả thu nhập quyết toán thuế trong các trường hợp sau: </w:t>
      </w:r>
    </w:p>
    <w:p w:rsidR="00ED733B" w:rsidRPr="008F2D10" w:rsidRDefault="00ED733B" w:rsidP="00ED733B">
      <w:pPr>
        <w:spacing w:after="0" w:line="26" w:lineRule="atLeast"/>
        <w:jc w:val="both"/>
        <w:rPr>
          <w:rFonts w:ascii="Times New Roman" w:hAnsi="Times New Roman" w:cs="Times New Roman"/>
          <w:color w:val="000000"/>
          <w:sz w:val="26"/>
          <w:szCs w:val="26"/>
        </w:rPr>
      </w:pPr>
      <w:r w:rsidRPr="008F2D10">
        <w:rPr>
          <w:rFonts w:ascii="Times New Roman" w:hAnsi="Times New Roman" w:cs="Times New Roman"/>
          <w:color w:val="000000"/>
          <w:sz w:val="26"/>
          <w:szCs w:val="26"/>
        </w:rPr>
        <w:t>+</w:t>
      </w:r>
      <w:r w:rsidRPr="008F2D10">
        <w:rPr>
          <w:rFonts w:ascii="Times New Roman" w:hAnsi="Times New Roman" w:cs="Times New Roman"/>
          <w:color w:val="000000"/>
          <w:sz w:val="26"/>
          <w:szCs w:val="26"/>
          <w:lang w:val="vi-VN"/>
        </w:rPr>
        <w:t xml:space="preserve"> Cá nhân có thu nhập từ tiền lương, tiền công ký hợp đồng lao động từ 03 tháng trở lên tại một tổ chức</w:t>
      </w:r>
      <w:r w:rsidRPr="008F2D10">
        <w:rPr>
          <w:rFonts w:ascii="Times New Roman" w:hAnsi="Times New Roman" w:cs="Times New Roman"/>
          <w:color w:val="000000"/>
          <w:sz w:val="26"/>
          <w:szCs w:val="26"/>
        </w:rPr>
        <w:t xml:space="preserve"> </w:t>
      </w:r>
      <w:r w:rsidRPr="008F2D10">
        <w:rPr>
          <w:rFonts w:ascii="Times New Roman" w:hAnsi="Times New Roman" w:cs="Times New Roman"/>
          <w:color w:val="000000"/>
          <w:sz w:val="26"/>
          <w:szCs w:val="26"/>
          <w:lang w:val="vi-VN"/>
        </w:rPr>
        <w:t>trả thu nhập và thực tế đang làm việc tại đó vào thời điểm uỷ quyền quyết toán thuế</w:t>
      </w:r>
      <w:r w:rsidRPr="008F2D10">
        <w:rPr>
          <w:rFonts w:ascii="Times New Roman" w:hAnsi="Times New Roman" w:cs="Times New Roman"/>
          <w:color w:val="000000"/>
          <w:sz w:val="26"/>
          <w:szCs w:val="26"/>
        </w:rPr>
        <w:t xml:space="preserve"> (bao gồm </w:t>
      </w:r>
      <w:r w:rsidRPr="008F2D10">
        <w:rPr>
          <w:rFonts w:ascii="Times New Roman" w:hAnsi="Times New Roman" w:cs="Times New Roman"/>
          <w:color w:val="000000"/>
          <w:sz w:val="26"/>
          <w:szCs w:val="26"/>
          <w:lang w:val="vi-VN"/>
        </w:rPr>
        <w:t>cả trường hợp không làm việc đủ 12 tháng trong năm</w:t>
      </w:r>
      <w:r w:rsidRPr="008F2D10">
        <w:rPr>
          <w:rFonts w:ascii="Times New Roman" w:hAnsi="Times New Roman" w:cs="Times New Roman"/>
          <w:color w:val="000000"/>
          <w:sz w:val="26"/>
          <w:szCs w:val="26"/>
        </w:rPr>
        <w:t xml:space="preserve">) thì được ủy quyền quyết toán thuế tại tổ chức trả thu nhập đó đối với phần thu nhập do tổ chức đó chi trả, kể cả trường hợp cá nhân đồng thời có thu nhập từ </w:t>
      </w:r>
      <w:r w:rsidRPr="008F2D10">
        <w:rPr>
          <w:rFonts w:ascii="Times New Roman" w:eastAsia="Times New Roman" w:hAnsi="Times New Roman" w:cs="Times New Roman"/>
          <w:sz w:val="26"/>
          <w:szCs w:val="26"/>
          <w:lang w:val="vi-VN"/>
        </w:rPr>
        <w:t xml:space="preserve">bảo hiểm nhân thọ (trừ bảo hiểm hưu trí tự nguyện), bảo hiểm không bắt buộc khác có tích lũy về phí bảo hiểm </w:t>
      </w:r>
      <w:r w:rsidRPr="008F2D10">
        <w:rPr>
          <w:rFonts w:ascii="Times New Roman" w:eastAsia="Times New Roman" w:hAnsi="Times New Roman" w:cs="Times New Roman"/>
          <w:sz w:val="26"/>
          <w:szCs w:val="26"/>
        </w:rPr>
        <w:t>mà</w:t>
      </w:r>
      <w:r w:rsidRPr="008F2D10">
        <w:rPr>
          <w:rFonts w:ascii="Times New Roman" w:eastAsia="Times New Roman" w:hAnsi="Times New Roman" w:cs="Times New Roman"/>
          <w:sz w:val="26"/>
          <w:szCs w:val="26"/>
          <w:lang w:val="vi-VN"/>
        </w:rPr>
        <w:t xml:space="preserve"> đã khấu trừ thuế </w:t>
      </w:r>
      <w:r w:rsidRPr="008F2D10">
        <w:rPr>
          <w:rFonts w:ascii="Times New Roman" w:eastAsia="Times New Roman" w:hAnsi="Times New Roman" w:cs="Times New Roman"/>
          <w:sz w:val="26"/>
          <w:szCs w:val="26"/>
        </w:rPr>
        <w:t>TNCN</w:t>
      </w:r>
      <w:r w:rsidRPr="008F2D10">
        <w:rPr>
          <w:rFonts w:ascii="Times New Roman" w:eastAsia="Times New Roman" w:hAnsi="Times New Roman" w:cs="Times New Roman"/>
          <w:sz w:val="26"/>
          <w:szCs w:val="26"/>
          <w:lang w:val="vi-VN"/>
        </w:rPr>
        <w:t xml:space="preserve"> 10</w:t>
      </w:r>
      <w:r w:rsidRPr="008F2D10">
        <w:rPr>
          <w:rFonts w:ascii="Times New Roman" w:eastAsia="Times New Roman" w:hAnsi="Times New Roman" w:cs="Times New Roman"/>
          <w:sz w:val="26"/>
          <w:szCs w:val="26"/>
        </w:rPr>
        <w:t xml:space="preserve">%. </w:t>
      </w:r>
    </w:p>
    <w:p w:rsidR="00ED733B" w:rsidRPr="008F2D10" w:rsidRDefault="00ED733B" w:rsidP="00ED733B">
      <w:pPr>
        <w:spacing w:after="0" w:line="26" w:lineRule="atLeast"/>
        <w:jc w:val="both"/>
        <w:rPr>
          <w:rFonts w:ascii="Times New Roman" w:hAnsi="Times New Roman" w:cs="Times New Roman"/>
          <w:color w:val="000000"/>
          <w:sz w:val="26"/>
          <w:szCs w:val="26"/>
        </w:rPr>
      </w:pPr>
      <w:r w:rsidRPr="008F2D10">
        <w:rPr>
          <w:rFonts w:ascii="Times New Roman" w:hAnsi="Times New Roman" w:cs="Times New Roman"/>
          <w:color w:val="000000"/>
          <w:sz w:val="26"/>
          <w:szCs w:val="26"/>
        </w:rPr>
        <w:t>+ Trường hợp tổ chức trả thu nhập thực hiện việc tổ chức lại doanh nghiệp (chia, tách, hợp nhất, sáp nhập, chuyển đổi) và người lao động được điều chuyển từ tổ chức cũ đến tổ chức mới (tổ chức được hình thành sau khi tổ chức lại doanh nghiệp), nếu trong năm người lao động không có thêm thu nhập từ tiền lương, tiền công tại một nơi nào khác thì được uỷ quyền quyết toán cho tổ chức mới quyết toán thuế thay đối với cả phần thu nhập tổ chức cũ chi trả. Trường hợp điều chuyển người lao động giữa các tổ chức trong cùng một hệ thống như: Tập đoàn, Tổng công ty, Công ty mẹ - con, Trụ sở chính và chi nhánh thì cũng được áp dụng nguyên tắc ủy quyền quyết toán thuế như đối với trường hợp tổ chức lại doanh nghiệp.</w:t>
      </w:r>
    </w:p>
    <w:p w:rsidR="00ED733B" w:rsidRPr="008F2D10" w:rsidRDefault="00ED733B" w:rsidP="00ED733B">
      <w:pPr>
        <w:pStyle w:val="NormalWeb"/>
        <w:spacing w:before="0" w:beforeAutospacing="0" w:after="0" w:afterAutospacing="0" w:line="26" w:lineRule="atLeast"/>
        <w:jc w:val="both"/>
        <w:rPr>
          <w:color w:val="000000"/>
          <w:sz w:val="26"/>
          <w:szCs w:val="26"/>
        </w:rPr>
      </w:pPr>
      <w:r w:rsidRPr="008F2D10">
        <w:rPr>
          <w:color w:val="000000"/>
          <w:sz w:val="26"/>
          <w:szCs w:val="26"/>
        </w:rPr>
        <w:t>+</w:t>
      </w:r>
      <w:r w:rsidRPr="008F2D10">
        <w:rPr>
          <w:color w:val="000000"/>
          <w:sz w:val="26"/>
          <w:szCs w:val="26"/>
          <w:lang w:val="vi-VN"/>
        </w:rPr>
        <w:t xml:space="preserve"> Cá nhân có thu nhập từ tiền lương, tiền công ký hợp đồng lao động từ</w:t>
      </w:r>
      <w:r w:rsidRPr="008F2D10">
        <w:rPr>
          <w:color w:val="000000"/>
          <w:sz w:val="26"/>
          <w:szCs w:val="26"/>
        </w:rPr>
        <w:t xml:space="preserve"> </w:t>
      </w:r>
      <w:r w:rsidRPr="008F2D10">
        <w:rPr>
          <w:color w:val="000000"/>
          <w:sz w:val="26"/>
          <w:szCs w:val="26"/>
          <w:lang w:val="vi-VN"/>
        </w:rPr>
        <w:t xml:space="preserve">03 tháng trở lên tại một </w:t>
      </w:r>
      <w:r w:rsidRPr="008F2D10">
        <w:rPr>
          <w:color w:val="000000"/>
          <w:sz w:val="26"/>
          <w:szCs w:val="26"/>
        </w:rPr>
        <w:t>tổ chức trả thu nhập</w:t>
      </w:r>
      <w:r w:rsidRPr="008F2D10">
        <w:rPr>
          <w:color w:val="000000"/>
          <w:sz w:val="26"/>
          <w:szCs w:val="26"/>
          <w:lang w:val="vi-VN"/>
        </w:rPr>
        <w:t>, đồng thời có thu nhập vãng lai ở các nơi khác bình quân tháng trong năm không quá 10 triệu đồng đã được đơn vị trả thu nhập khấu trừ thuế theo tỷ lệ 10%</w:t>
      </w:r>
      <w:r w:rsidRPr="008F2D10">
        <w:rPr>
          <w:color w:val="000000"/>
          <w:sz w:val="26"/>
          <w:szCs w:val="26"/>
        </w:rPr>
        <w:t xml:space="preserve"> </w:t>
      </w:r>
      <w:r w:rsidRPr="008F2D10">
        <w:rPr>
          <w:color w:val="000000"/>
          <w:sz w:val="26"/>
          <w:szCs w:val="26"/>
          <w:lang w:val="vi-VN"/>
        </w:rPr>
        <w:t>nếu cá nhân không có yêu cầu quyết toán thuế đối với thu nhập vãng lai thì được ủy quyền quyết toán</w:t>
      </w:r>
      <w:r w:rsidRPr="008F2D10">
        <w:rPr>
          <w:color w:val="000000"/>
          <w:sz w:val="26"/>
          <w:szCs w:val="26"/>
        </w:rPr>
        <w:t xml:space="preserve"> </w:t>
      </w:r>
      <w:r w:rsidRPr="008F2D10">
        <w:rPr>
          <w:color w:val="000000"/>
          <w:sz w:val="26"/>
          <w:szCs w:val="26"/>
          <w:lang w:val="vi-VN"/>
        </w:rPr>
        <w:t>tại tổ chức trả thu nhập ký hợp đồng lao động từ 03 tháng trở lên. Nếu cá nhân có yêu cầu quyết toán thuế đối với thu nhập vãng lai thì cá nhân trực tiếp quyết toán với cơ quan thuế.</w:t>
      </w:r>
    </w:p>
    <w:p w:rsidR="00ED733B" w:rsidRPr="008F2D10" w:rsidRDefault="00ED733B" w:rsidP="00ED733B">
      <w:pPr>
        <w:pStyle w:val="NormalWeb"/>
        <w:spacing w:before="0" w:beforeAutospacing="0" w:after="0" w:afterAutospacing="0" w:line="26" w:lineRule="atLeast"/>
        <w:jc w:val="both"/>
        <w:rPr>
          <w:sz w:val="26"/>
          <w:szCs w:val="26"/>
        </w:rPr>
      </w:pPr>
      <w:r w:rsidRPr="008F2D10">
        <w:rPr>
          <w:sz w:val="26"/>
          <w:szCs w:val="26"/>
        </w:rPr>
        <w:t>-</w:t>
      </w:r>
      <w:r w:rsidRPr="008F2D10">
        <w:rPr>
          <w:sz w:val="26"/>
          <w:szCs w:val="26"/>
          <w:lang w:val="vi-VN"/>
        </w:rPr>
        <w:t xml:space="preserve"> Cá nhân ủy quyền cho tổ chức</w:t>
      </w:r>
      <w:r w:rsidRPr="008F2D10">
        <w:rPr>
          <w:sz w:val="26"/>
          <w:szCs w:val="26"/>
        </w:rPr>
        <w:t xml:space="preserve"> </w:t>
      </w:r>
      <w:r w:rsidRPr="008F2D10">
        <w:rPr>
          <w:sz w:val="26"/>
          <w:szCs w:val="26"/>
          <w:lang w:val="vi-VN"/>
        </w:rPr>
        <w:t>trả thu nhập quyết toán thay theo mẫu số 02/</w:t>
      </w:r>
      <w:r w:rsidRPr="008F2D10">
        <w:rPr>
          <w:sz w:val="26"/>
          <w:szCs w:val="26"/>
        </w:rPr>
        <w:t>UQ-QTT-</w:t>
      </w:r>
      <w:r w:rsidRPr="008F2D10">
        <w:rPr>
          <w:sz w:val="26"/>
          <w:szCs w:val="26"/>
          <w:lang w:val="vi-VN"/>
        </w:rPr>
        <w:t xml:space="preserve">TNCN ban hành kèm theo Thông tư số </w:t>
      </w:r>
      <w:r w:rsidRPr="008F2D10">
        <w:rPr>
          <w:sz w:val="26"/>
          <w:szCs w:val="26"/>
        </w:rPr>
        <w:t>92</w:t>
      </w:r>
      <w:r w:rsidRPr="008F2D10">
        <w:rPr>
          <w:sz w:val="26"/>
          <w:szCs w:val="26"/>
          <w:lang w:val="vi-VN"/>
        </w:rPr>
        <w:t>/201</w:t>
      </w:r>
      <w:r w:rsidRPr="008F2D10">
        <w:rPr>
          <w:sz w:val="26"/>
          <w:szCs w:val="26"/>
        </w:rPr>
        <w:t>5</w:t>
      </w:r>
      <w:r w:rsidRPr="008F2D10">
        <w:rPr>
          <w:sz w:val="26"/>
          <w:szCs w:val="26"/>
          <w:lang w:val="vi-VN"/>
        </w:rPr>
        <w:t xml:space="preserve">/TT-BTC ngày </w:t>
      </w:r>
      <w:r w:rsidRPr="008F2D10">
        <w:rPr>
          <w:sz w:val="26"/>
          <w:szCs w:val="26"/>
        </w:rPr>
        <w:t>15</w:t>
      </w:r>
      <w:r w:rsidRPr="008F2D10">
        <w:rPr>
          <w:sz w:val="26"/>
          <w:szCs w:val="26"/>
          <w:lang w:val="vi-VN"/>
        </w:rPr>
        <w:t>/</w:t>
      </w:r>
      <w:r w:rsidRPr="008F2D10">
        <w:rPr>
          <w:sz w:val="26"/>
          <w:szCs w:val="26"/>
        </w:rPr>
        <w:t>6</w:t>
      </w:r>
      <w:r w:rsidRPr="008F2D10">
        <w:rPr>
          <w:sz w:val="26"/>
          <w:szCs w:val="26"/>
          <w:lang w:val="vi-VN"/>
        </w:rPr>
        <w:t>/201</w:t>
      </w:r>
      <w:r w:rsidRPr="008F2D10">
        <w:rPr>
          <w:sz w:val="26"/>
          <w:szCs w:val="26"/>
        </w:rPr>
        <w:t>5</w:t>
      </w:r>
      <w:r w:rsidRPr="008F2D10">
        <w:rPr>
          <w:sz w:val="26"/>
          <w:szCs w:val="26"/>
          <w:lang w:val="vi-VN"/>
        </w:rPr>
        <w:t xml:space="preserve"> của Bộ Tài chính, kèm theo bản chụp hóa đơn, chứng từ chứng minh đóng góp từ thiện, nhân đạo, khuyến học (nếu có).</w:t>
      </w:r>
    </w:p>
    <w:p w:rsidR="00ED733B" w:rsidRDefault="00ED733B" w:rsidP="00ED733B">
      <w:pPr>
        <w:spacing w:after="0" w:line="26" w:lineRule="atLeast"/>
        <w:jc w:val="both"/>
        <w:rPr>
          <w:rFonts w:ascii="Times New Roman" w:hAnsi="Times New Roman" w:cs="Times New Roman"/>
          <w:color w:val="000000"/>
          <w:sz w:val="26"/>
          <w:szCs w:val="26"/>
        </w:rPr>
      </w:pPr>
      <w:r w:rsidRPr="008F2D10">
        <w:rPr>
          <w:rFonts w:ascii="Times New Roman" w:hAnsi="Times New Roman" w:cs="Times New Roman"/>
          <w:color w:val="000000"/>
          <w:sz w:val="26"/>
          <w:szCs w:val="26"/>
        </w:rPr>
        <w:t>Trường hợp tổ chức trả thu nhập có số lượng lớn người lao động ủy quyền quyết toán thuế thì tổ chức trả thu nhập có thể lập danh sách các cá nhân ủy quyền trong đó phản ánh đầy đủ các nội dung tại mẫu số 02/UQ-QTT-TNCN ban hành kèm theo Thông tư số 92/2015/TT-BTC ngày 15/6/2015 của Bộ Tài chính, đồng thời cam kết tính chính xác, trung thực và chịu trách nhiệm trước pháp luật về số liệu, nội dung trong danh sách.</w:t>
      </w:r>
    </w:p>
    <w:p w:rsidR="00ED733B" w:rsidRPr="008F2D10" w:rsidRDefault="00ED733B" w:rsidP="00ED733B">
      <w:pPr>
        <w:tabs>
          <w:tab w:val="left" w:pos="0"/>
        </w:tabs>
        <w:spacing w:after="0" w:line="26" w:lineRule="atLeast"/>
        <w:jc w:val="both"/>
        <w:rPr>
          <w:rFonts w:ascii="Times New Roman" w:hAnsi="Times New Roman" w:cs="Times New Roman"/>
          <w:b/>
          <w:sz w:val="26"/>
          <w:szCs w:val="26"/>
        </w:rPr>
      </w:pPr>
      <w:r w:rsidRPr="008F2D10">
        <w:rPr>
          <w:rFonts w:ascii="Times New Roman" w:hAnsi="Times New Roman" w:cs="Times New Roman"/>
          <w:b/>
          <w:sz w:val="26"/>
          <w:szCs w:val="26"/>
        </w:rPr>
        <w:t>2. Cá nhân quyết toán thuế trực tiếp với cơ quan thuế</w:t>
      </w:r>
    </w:p>
    <w:p w:rsidR="00ED733B" w:rsidRPr="008F2D10" w:rsidRDefault="00ED733B" w:rsidP="00ED733B">
      <w:pPr>
        <w:pStyle w:val="NormalWeb"/>
        <w:spacing w:before="0" w:beforeAutospacing="0" w:after="0" w:afterAutospacing="0" w:line="26" w:lineRule="atLeast"/>
        <w:jc w:val="both"/>
        <w:rPr>
          <w:sz w:val="26"/>
          <w:szCs w:val="26"/>
        </w:rPr>
      </w:pPr>
      <w:r w:rsidRPr="008F2D10">
        <w:rPr>
          <w:sz w:val="26"/>
          <w:szCs w:val="26"/>
        </w:rPr>
        <w:t xml:space="preserve">- </w:t>
      </w:r>
      <w:r w:rsidRPr="008F2D10">
        <w:rPr>
          <w:sz w:val="26"/>
          <w:szCs w:val="26"/>
          <w:lang w:val="vi-VN"/>
        </w:rPr>
        <w:t>Cá nhân đảm</w:t>
      </w:r>
      <w:r w:rsidRPr="008F2D10">
        <w:rPr>
          <w:sz w:val="26"/>
          <w:szCs w:val="26"/>
        </w:rPr>
        <w:t xml:space="preserve"> bảo điều kiện được ủy quyền cho tổ chức trả thu nhập quyết toán thuế theo hướng dẫn tại điểm 1 nêu trên nhưng </w:t>
      </w:r>
      <w:r w:rsidRPr="008F2D10">
        <w:rPr>
          <w:sz w:val="26"/>
          <w:szCs w:val="26"/>
          <w:lang w:val="vi-VN"/>
        </w:rPr>
        <w:t>đã</w:t>
      </w:r>
      <w:r w:rsidRPr="008F2D10">
        <w:rPr>
          <w:sz w:val="26"/>
          <w:szCs w:val="26"/>
        </w:rPr>
        <w:t xml:space="preserve"> được tổ chức trả thu nhập cấp chứng từ khấu trừ thuế TNCN thì không ủy quyền quyết toán thuế cho tổ chức trả thu nhập (trừ trường hợp tổ chức trả thu nhập đã thu hồi và hủy chứng từ khấu trừ thuế đã cấp cho cá nhân).</w:t>
      </w:r>
    </w:p>
    <w:p w:rsidR="00ED733B" w:rsidRPr="008F2D10" w:rsidRDefault="00ED733B" w:rsidP="00ED733B">
      <w:pPr>
        <w:pStyle w:val="NormalWeb"/>
        <w:spacing w:before="0" w:beforeAutospacing="0" w:after="0" w:afterAutospacing="0" w:line="26" w:lineRule="atLeast"/>
        <w:jc w:val="both"/>
        <w:rPr>
          <w:color w:val="000000"/>
          <w:sz w:val="26"/>
          <w:szCs w:val="26"/>
        </w:rPr>
      </w:pPr>
      <w:r w:rsidRPr="008F2D10">
        <w:rPr>
          <w:color w:val="000000"/>
          <w:sz w:val="26"/>
          <w:szCs w:val="26"/>
        </w:rPr>
        <w:t xml:space="preserve">- </w:t>
      </w:r>
      <w:r w:rsidRPr="008F2D10">
        <w:rPr>
          <w:color w:val="000000"/>
          <w:sz w:val="26"/>
          <w:szCs w:val="26"/>
          <w:lang w:val="vi-VN"/>
        </w:rPr>
        <w:t xml:space="preserve">Cá nhân có thu nhập từ tiền lương, tiền công không đảm bảo điều kiện được ủy quyền cho tổ chức trả thu nhập quyết toán thuế theo hướng dẫn tại điểm 1 nêu trên, nhưng thuộc diện phải quyết toán thuế TNCN theo quy định thì trực tiếp quyết toán </w:t>
      </w:r>
      <w:r w:rsidRPr="008F2D10">
        <w:rPr>
          <w:color w:val="000000"/>
          <w:sz w:val="26"/>
          <w:szCs w:val="26"/>
          <w:lang w:val="vi-VN"/>
        </w:rPr>
        <w:lastRenderedPageBreak/>
        <w:t>thuế với cơ quan thuế trên toàn bộ thu nhập phát sinh trong năm, cụ thể một số trường hợp không ủy quyền quyết toán thuế TNCN như sau:</w:t>
      </w:r>
    </w:p>
    <w:p w:rsidR="00ED733B" w:rsidRPr="008F2D10" w:rsidRDefault="00ED733B" w:rsidP="00ED733B">
      <w:pPr>
        <w:pStyle w:val="NormalWeb"/>
        <w:spacing w:before="0" w:beforeAutospacing="0" w:after="0" w:afterAutospacing="0" w:line="26" w:lineRule="atLeast"/>
        <w:jc w:val="both"/>
        <w:rPr>
          <w:color w:val="000000"/>
          <w:sz w:val="26"/>
          <w:szCs w:val="26"/>
          <w:lang w:val="vi-VN"/>
        </w:rPr>
      </w:pPr>
      <w:r w:rsidRPr="008F2D10">
        <w:rPr>
          <w:color w:val="000000"/>
          <w:sz w:val="26"/>
          <w:szCs w:val="26"/>
          <w:lang w:val="vi-VN"/>
        </w:rPr>
        <w:t>+ Cá nhân chỉ có thu nhập vãng lai đã khấu trừ thuế theo tỷ lệ 10%</w:t>
      </w:r>
      <w:r w:rsidRPr="008F2D10">
        <w:rPr>
          <w:color w:val="000000"/>
          <w:sz w:val="26"/>
          <w:szCs w:val="26"/>
        </w:rPr>
        <w:t xml:space="preserve"> </w:t>
      </w:r>
      <w:r w:rsidRPr="008F2D10">
        <w:rPr>
          <w:color w:val="000000"/>
          <w:sz w:val="26"/>
          <w:szCs w:val="26"/>
          <w:lang w:val="vi-VN"/>
        </w:rPr>
        <w:t xml:space="preserve">(kể cả trường hợp có thu nhập vãng lai duy nhất tại một nơi) thì cá nhân không uỷ quyền quyết toán. </w:t>
      </w:r>
    </w:p>
    <w:p w:rsidR="00ED733B" w:rsidRPr="008F2D10" w:rsidRDefault="00ED733B" w:rsidP="00ED733B">
      <w:pPr>
        <w:pStyle w:val="NormalWeb"/>
        <w:spacing w:before="0" w:beforeAutospacing="0" w:after="0" w:afterAutospacing="0" w:line="26" w:lineRule="atLeast"/>
        <w:jc w:val="both"/>
        <w:rPr>
          <w:color w:val="000000"/>
          <w:sz w:val="26"/>
          <w:szCs w:val="26"/>
        </w:rPr>
      </w:pPr>
      <w:r w:rsidRPr="008F2D10">
        <w:rPr>
          <w:color w:val="000000"/>
          <w:sz w:val="26"/>
          <w:szCs w:val="26"/>
        </w:rPr>
        <w:t xml:space="preserve">+ </w:t>
      </w:r>
      <w:r w:rsidRPr="008F2D10">
        <w:rPr>
          <w:color w:val="000000"/>
          <w:sz w:val="26"/>
          <w:szCs w:val="26"/>
          <w:lang w:val="vi-VN"/>
        </w:rPr>
        <w:t xml:space="preserve">Cá nhân có thu nhập từ tiền lương, tiền công ký hợp đồng lao động từ 03 tháng trở lên tại một đơn vị, đồng thời có thu nhập vãng lai chưa khấu trừ thuế (bao gồm trường hợp chưa đến mức khấu trừ và đã đến mức khấu trừ nhưng không khấu trừ) thì cá nhân không ủy quyền quyết toán thuế. </w:t>
      </w:r>
    </w:p>
    <w:p w:rsidR="00ED733B" w:rsidRPr="008F2D10" w:rsidRDefault="00ED733B" w:rsidP="00ED733B">
      <w:pPr>
        <w:widowControl w:val="0"/>
        <w:autoSpaceDE w:val="0"/>
        <w:autoSpaceDN w:val="0"/>
        <w:adjustRightInd w:val="0"/>
        <w:spacing w:after="0" w:line="26" w:lineRule="atLeast"/>
        <w:jc w:val="both"/>
        <w:outlineLvl w:val="0"/>
        <w:rPr>
          <w:rFonts w:ascii="Times New Roman" w:hAnsi="Times New Roman" w:cs="Times New Roman"/>
          <w:b/>
          <w:color w:val="000000"/>
          <w:sz w:val="26"/>
          <w:szCs w:val="26"/>
        </w:rPr>
      </w:pPr>
      <w:r w:rsidRPr="008F2D10">
        <w:rPr>
          <w:rFonts w:ascii="Times New Roman" w:hAnsi="Times New Roman" w:cs="Times New Roman"/>
          <w:b/>
          <w:color w:val="000000"/>
          <w:sz w:val="26"/>
          <w:szCs w:val="26"/>
          <w:lang w:val="vi-VN"/>
        </w:rPr>
        <w:t>3. Trường hợp điều chỉnh sau khi đã ủy quyền quyết toán</w:t>
      </w:r>
      <w:r w:rsidRPr="008F2D10">
        <w:rPr>
          <w:rFonts w:ascii="Times New Roman" w:hAnsi="Times New Roman" w:cs="Times New Roman"/>
          <w:b/>
          <w:color w:val="000000"/>
          <w:sz w:val="26"/>
          <w:szCs w:val="26"/>
        </w:rPr>
        <w:t xml:space="preserve"> thuế</w:t>
      </w:r>
    </w:p>
    <w:p w:rsidR="00ED733B" w:rsidRDefault="00ED733B" w:rsidP="00ED733B">
      <w:pPr>
        <w:widowControl w:val="0"/>
        <w:autoSpaceDE w:val="0"/>
        <w:autoSpaceDN w:val="0"/>
        <w:adjustRightInd w:val="0"/>
        <w:spacing w:after="0" w:line="26" w:lineRule="atLeast"/>
        <w:jc w:val="both"/>
        <w:rPr>
          <w:rFonts w:ascii="Times New Roman" w:hAnsi="Times New Roman" w:cs="Times New Roman"/>
          <w:color w:val="000000"/>
          <w:sz w:val="26"/>
          <w:szCs w:val="26"/>
        </w:rPr>
      </w:pPr>
      <w:r w:rsidRPr="008F2D10">
        <w:rPr>
          <w:rFonts w:ascii="Times New Roman" w:hAnsi="Times New Roman" w:cs="Times New Roman"/>
          <w:color w:val="000000"/>
          <w:sz w:val="26"/>
          <w:szCs w:val="26"/>
          <w:lang w:val="vi-VN"/>
        </w:rPr>
        <w:t>Cá nhân sau khi đã ủy quyền quyết toán thuế, tổ chức</w:t>
      </w:r>
      <w:r w:rsidRPr="008F2D10">
        <w:rPr>
          <w:rFonts w:ascii="Times New Roman" w:hAnsi="Times New Roman" w:cs="Times New Roman"/>
          <w:color w:val="000000"/>
          <w:sz w:val="26"/>
          <w:szCs w:val="26"/>
        </w:rPr>
        <w:t xml:space="preserve"> </w:t>
      </w:r>
      <w:r w:rsidRPr="008F2D10">
        <w:rPr>
          <w:rFonts w:ascii="Times New Roman" w:hAnsi="Times New Roman" w:cs="Times New Roman"/>
          <w:color w:val="000000"/>
          <w:sz w:val="26"/>
          <w:szCs w:val="26"/>
          <w:lang w:val="vi-VN"/>
        </w:rPr>
        <w:t>trả thu nhập đã thực hiện quyết toán thuế thay cho cá nhân, nếu phát hiện cá nhân thuộc diện trực tiếp quyết toán thuế với cơ quan thuế thì tổ chức</w:t>
      </w:r>
      <w:r w:rsidRPr="008F2D10">
        <w:rPr>
          <w:rFonts w:ascii="Times New Roman" w:hAnsi="Times New Roman" w:cs="Times New Roman"/>
          <w:color w:val="000000"/>
          <w:sz w:val="26"/>
          <w:szCs w:val="26"/>
        </w:rPr>
        <w:t xml:space="preserve"> </w:t>
      </w:r>
      <w:r w:rsidRPr="008F2D10">
        <w:rPr>
          <w:rFonts w:ascii="Times New Roman" w:hAnsi="Times New Roman" w:cs="Times New Roman"/>
          <w:color w:val="000000"/>
          <w:sz w:val="26"/>
          <w:szCs w:val="26"/>
          <w:lang w:val="vi-VN"/>
        </w:rPr>
        <w:t xml:space="preserve">trả </w:t>
      </w:r>
      <w:r w:rsidRPr="008F2D10">
        <w:rPr>
          <w:rFonts w:ascii="Times New Roman" w:hAnsi="Times New Roman" w:cs="Times New Roman"/>
          <w:color w:val="000000"/>
          <w:sz w:val="26"/>
          <w:szCs w:val="26"/>
        </w:rPr>
        <w:t xml:space="preserve">thu </w:t>
      </w:r>
      <w:r w:rsidRPr="008F2D10">
        <w:rPr>
          <w:rFonts w:ascii="Times New Roman" w:hAnsi="Times New Roman" w:cs="Times New Roman"/>
          <w:color w:val="000000"/>
          <w:sz w:val="26"/>
          <w:szCs w:val="26"/>
          <w:lang w:val="vi-VN"/>
        </w:rPr>
        <w:t>nhập không điều chỉnh lại quyết toán thuế TNCN</w:t>
      </w:r>
      <w:r w:rsidRPr="008F2D10">
        <w:rPr>
          <w:rFonts w:ascii="Times New Roman" w:hAnsi="Times New Roman" w:cs="Times New Roman"/>
          <w:color w:val="000000"/>
          <w:sz w:val="26"/>
          <w:szCs w:val="26"/>
        </w:rPr>
        <w:t xml:space="preserve"> của tổ chức trả thu nhập</w:t>
      </w:r>
      <w:r w:rsidRPr="008F2D10">
        <w:rPr>
          <w:rFonts w:ascii="Times New Roman" w:hAnsi="Times New Roman" w:cs="Times New Roman"/>
          <w:color w:val="000000"/>
          <w:sz w:val="26"/>
          <w:szCs w:val="26"/>
          <w:lang w:val="vi-VN"/>
        </w:rPr>
        <w:t xml:space="preserve">, chỉ cấp chứng từ khấu trừ thuế cho cá nhân theo số quyết toán và ghi vào góc dưới bên trái của chứng từ khấu trừ thuế nội dung: </w:t>
      </w:r>
      <w:r w:rsidRPr="008F2D10">
        <w:rPr>
          <w:rFonts w:ascii="Times New Roman" w:hAnsi="Times New Roman" w:cs="Times New Roman"/>
          <w:i/>
          <w:color w:val="000000"/>
          <w:sz w:val="26"/>
          <w:szCs w:val="26"/>
          <w:lang w:val="vi-VN"/>
        </w:rPr>
        <w:t xml:space="preserve">“Công ty … đã quyết toán thuế TNCN thay cho Ông/Bà …. (theo ủy quyền) tại dòng (số thứ tự) … của </w:t>
      </w:r>
      <w:r w:rsidRPr="008F2D10">
        <w:rPr>
          <w:rFonts w:ascii="Times New Roman" w:hAnsi="Times New Roman" w:cs="Times New Roman"/>
          <w:i/>
          <w:color w:val="000000"/>
          <w:sz w:val="26"/>
          <w:szCs w:val="26"/>
        </w:rPr>
        <w:t xml:space="preserve">Phụ lục </w:t>
      </w:r>
      <w:r w:rsidRPr="008F2D10">
        <w:rPr>
          <w:rFonts w:ascii="Times New Roman" w:hAnsi="Times New Roman" w:cs="Times New Roman"/>
          <w:i/>
          <w:color w:val="000000"/>
          <w:sz w:val="26"/>
          <w:szCs w:val="26"/>
          <w:lang w:val="vi-VN"/>
        </w:rPr>
        <w:t>Bảng kê 05</w:t>
      </w:r>
      <w:r w:rsidRPr="008F2D10">
        <w:rPr>
          <w:rFonts w:ascii="Times New Roman" w:hAnsi="Times New Roman" w:cs="Times New Roman"/>
          <w:i/>
          <w:color w:val="000000"/>
          <w:sz w:val="26"/>
          <w:szCs w:val="26"/>
        </w:rPr>
        <w:t>-1</w:t>
      </w:r>
      <w:r w:rsidRPr="008F2D10">
        <w:rPr>
          <w:rFonts w:ascii="Times New Roman" w:hAnsi="Times New Roman" w:cs="Times New Roman"/>
          <w:i/>
          <w:color w:val="000000"/>
          <w:sz w:val="26"/>
          <w:szCs w:val="26"/>
          <w:lang w:val="vi-VN"/>
        </w:rPr>
        <w:t>/BK-TNCN”</w:t>
      </w:r>
      <w:r w:rsidRPr="008F2D10">
        <w:rPr>
          <w:rFonts w:ascii="Times New Roman" w:hAnsi="Times New Roman" w:cs="Times New Roman"/>
          <w:i/>
          <w:color w:val="000000"/>
          <w:sz w:val="26"/>
          <w:szCs w:val="26"/>
        </w:rPr>
        <w:t xml:space="preserve"> </w:t>
      </w:r>
      <w:r w:rsidRPr="008F2D10">
        <w:rPr>
          <w:rFonts w:ascii="Times New Roman" w:hAnsi="Times New Roman" w:cs="Times New Roman"/>
          <w:color w:val="000000"/>
          <w:sz w:val="26"/>
          <w:szCs w:val="26"/>
        </w:rPr>
        <w:t>để cá nhân trực tiếp quyết toán thuế với cơ quan thuế.</w:t>
      </w:r>
      <w:r>
        <w:rPr>
          <w:rFonts w:ascii="Times New Roman" w:hAnsi="Times New Roman" w:cs="Times New Roman"/>
          <w:color w:val="000000"/>
          <w:sz w:val="26"/>
          <w:szCs w:val="26"/>
        </w:rPr>
        <w:t xml:space="preserve"> </w:t>
      </w:r>
    </w:p>
    <w:p w:rsidR="00ED733B" w:rsidRDefault="00ED733B" w:rsidP="00ED733B">
      <w:pPr>
        <w:widowControl w:val="0"/>
        <w:autoSpaceDE w:val="0"/>
        <w:autoSpaceDN w:val="0"/>
        <w:adjustRightInd w:val="0"/>
        <w:spacing w:after="0" w:line="26" w:lineRule="atLeast"/>
        <w:jc w:val="both"/>
        <w:rPr>
          <w:rFonts w:ascii="Times New Roman" w:hAnsi="Times New Roman" w:cs="Times New Roman"/>
          <w:color w:val="000000"/>
          <w:sz w:val="26"/>
          <w:szCs w:val="26"/>
        </w:rPr>
      </w:pPr>
    </w:p>
    <w:p w:rsidR="00ED733B" w:rsidRDefault="00ED733B" w:rsidP="00ED733B">
      <w:pPr>
        <w:widowControl w:val="0"/>
        <w:autoSpaceDE w:val="0"/>
        <w:autoSpaceDN w:val="0"/>
        <w:adjustRightInd w:val="0"/>
        <w:spacing w:after="0" w:line="26" w:lineRule="atLeast"/>
        <w:jc w:val="both"/>
        <w:rPr>
          <w:rFonts w:ascii="Times New Roman" w:hAnsi="Times New Roman" w:cs="Times New Roman"/>
          <w:color w:val="000000"/>
          <w:sz w:val="26"/>
          <w:szCs w:val="26"/>
        </w:rPr>
      </w:pPr>
    </w:p>
    <w:p w:rsidR="00ED733B" w:rsidRDefault="00ED733B" w:rsidP="00ED733B">
      <w:pPr>
        <w:widowControl w:val="0"/>
        <w:autoSpaceDE w:val="0"/>
        <w:autoSpaceDN w:val="0"/>
        <w:adjustRightInd w:val="0"/>
        <w:spacing w:after="0" w:line="26" w:lineRule="atLeast"/>
        <w:jc w:val="both"/>
        <w:rPr>
          <w:rFonts w:ascii="Times New Roman" w:hAnsi="Times New Roman" w:cs="Times New Roman"/>
          <w:color w:val="000000"/>
          <w:sz w:val="26"/>
          <w:szCs w:val="26"/>
        </w:rPr>
      </w:pPr>
    </w:p>
    <w:p w:rsidR="00ED733B" w:rsidRDefault="00ED733B" w:rsidP="00ED733B">
      <w:pPr>
        <w:widowControl w:val="0"/>
        <w:autoSpaceDE w:val="0"/>
        <w:autoSpaceDN w:val="0"/>
        <w:adjustRightInd w:val="0"/>
        <w:spacing w:after="0" w:line="26" w:lineRule="atLeast"/>
        <w:jc w:val="both"/>
        <w:rPr>
          <w:rFonts w:ascii="Times New Roman" w:hAnsi="Times New Roman" w:cs="Times New Roman"/>
          <w:color w:val="000000"/>
          <w:sz w:val="26"/>
          <w:szCs w:val="26"/>
        </w:rPr>
      </w:pPr>
    </w:p>
    <w:p w:rsidR="00ED733B" w:rsidRDefault="00ED733B" w:rsidP="00ED733B">
      <w:pPr>
        <w:widowControl w:val="0"/>
        <w:autoSpaceDE w:val="0"/>
        <w:autoSpaceDN w:val="0"/>
        <w:adjustRightInd w:val="0"/>
        <w:spacing w:after="0" w:line="26" w:lineRule="atLeast"/>
        <w:jc w:val="both"/>
        <w:rPr>
          <w:rFonts w:ascii="Times New Roman" w:hAnsi="Times New Roman" w:cs="Times New Roman"/>
          <w:color w:val="000000"/>
          <w:sz w:val="26"/>
          <w:szCs w:val="26"/>
        </w:rPr>
      </w:pPr>
    </w:p>
    <w:p w:rsidR="00ED733B" w:rsidRDefault="00ED733B" w:rsidP="00ED733B">
      <w:pPr>
        <w:widowControl w:val="0"/>
        <w:autoSpaceDE w:val="0"/>
        <w:autoSpaceDN w:val="0"/>
        <w:adjustRightInd w:val="0"/>
        <w:spacing w:after="0" w:line="26" w:lineRule="atLeast"/>
        <w:jc w:val="both"/>
        <w:rPr>
          <w:rFonts w:ascii="Times New Roman" w:hAnsi="Times New Roman" w:cs="Times New Roman"/>
          <w:color w:val="000000"/>
          <w:sz w:val="26"/>
          <w:szCs w:val="26"/>
        </w:rPr>
      </w:pPr>
    </w:p>
    <w:p w:rsidR="00ED733B" w:rsidRDefault="00ED733B" w:rsidP="00ED733B">
      <w:pPr>
        <w:widowControl w:val="0"/>
        <w:autoSpaceDE w:val="0"/>
        <w:autoSpaceDN w:val="0"/>
        <w:adjustRightInd w:val="0"/>
        <w:spacing w:after="0" w:line="26" w:lineRule="atLeast"/>
        <w:jc w:val="both"/>
        <w:rPr>
          <w:rFonts w:ascii="Times New Roman" w:hAnsi="Times New Roman" w:cs="Times New Roman"/>
          <w:color w:val="000000"/>
          <w:sz w:val="26"/>
          <w:szCs w:val="26"/>
        </w:rPr>
      </w:pPr>
    </w:p>
    <w:p w:rsidR="00ED733B" w:rsidRDefault="00ED733B" w:rsidP="00ED733B">
      <w:pPr>
        <w:widowControl w:val="0"/>
        <w:autoSpaceDE w:val="0"/>
        <w:autoSpaceDN w:val="0"/>
        <w:adjustRightInd w:val="0"/>
        <w:spacing w:after="0" w:line="26" w:lineRule="atLeast"/>
        <w:jc w:val="both"/>
        <w:rPr>
          <w:rFonts w:ascii="Times New Roman" w:hAnsi="Times New Roman" w:cs="Times New Roman"/>
          <w:color w:val="000000"/>
          <w:sz w:val="26"/>
          <w:szCs w:val="26"/>
        </w:rPr>
      </w:pPr>
    </w:p>
    <w:p w:rsidR="00ED733B" w:rsidRDefault="00ED733B" w:rsidP="00ED733B">
      <w:pPr>
        <w:widowControl w:val="0"/>
        <w:autoSpaceDE w:val="0"/>
        <w:autoSpaceDN w:val="0"/>
        <w:adjustRightInd w:val="0"/>
        <w:spacing w:after="0" w:line="26" w:lineRule="atLeast"/>
        <w:jc w:val="both"/>
        <w:rPr>
          <w:rFonts w:ascii="Times New Roman" w:hAnsi="Times New Roman" w:cs="Times New Roman"/>
          <w:color w:val="000000"/>
          <w:sz w:val="26"/>
          <w:szCs w:val="26"/>
        </w:rPr>
      </w:pPr>
    </w:p>
    <w:p w:rsidR="00ED733B" w:rsidRDefault="00ED733B" w:rsidP="00ED733B">
      <w:pPr>
        <w:widowControl w:val="0"/>
        <w:autoSpaceDE w:val="0"/>
        <w:autoSpaceDN w:val="0"/>
        <w:adjustRightInd w:val="0"/>
        <w:spacing w:after="0" w:line="26" w:lineRule="atLeast"/>
        <w:jc w:val="both"/>
        <w:rPr>
          <w:rFonts w:ascii="Times New Roman" w:hAnsi="Times New Roman" w:cs="Times New Roman"/>
          <w:color w:val="000000"/>
          <w:sz w:val="26"/>
          <w:szCs w:val="26"/>
        </w:rPr>
      </w:pPr>
    </w:p>
    <w:p w:rsidR="00ED733B" w:rsidRDefault="00ED733B" w:rsidP="00ED733B">
      <w:pPr>
        <w:widowControl w:val="0"/>
        <w:autoSpaceDE w:val="0"/>
        <w:autoSpaceDN w:val="0"/>
        <w:adjustRightInd w:val="0"/>
        <w:spacing w:after="0" w:line="26" w:lineRule="atLeast"/>
        <w:jc w:val="both"/>
        <w:rPr>
          <w:rFonts w:ascii="Times New Roman" w:hAnsi="Times New Roman" w:cs="Times New Roman"/>
          <w:color w:val="000000"/>
          <w:sz w:val="26"/>
          <w:szCs w:val="26"/>
        </w:rPr>
      </w:pPr>
    </w:p>
    <w:p w:rsidR="00ED733B" w:rsidRDefault="00ED733B" w:rsidP="00ED733B">
      <w:pPr>
        <w:widowControl w:val="0"/>
        <w:autoSpaceDE w:val="0"/>
        <w:autoSpaceDN w:val="0"/>
        <w:adjustRightInd w:val="0"/>
        <w:spacing w:after="0" w:line="26" w:lineRule="atLeast"/>
        <w:jc w:val="both"/>
        <w:rPr>
          <w:rFonts w:ascii="Times New Roman" w:hAnsi="Times New Roman" w:cs="Times New Roman"/>
          <w:color w:val="000000"/>
          <w:sz w:val="26"/>
          <w:szCs w:val="26"/>
        </w:rPr>
      </w:pPr>
    </w:p>
    <w:p w:rsidR="00ED733B" w:rsidRDefault="00ED733B" w:rsidP="00ED733B">
      <w:pPr>
        <w:widowControl w:val="0"/>
        <w:autoSpaceDE w:val="0"/>
        <w:autoSpaceDN w:val="0"/>
        <w:adjustRightInd w:val="0"/>
        <w:spacing w:after="0" w:line="26" w:lineRule="atLeast"/>
        <w:jc w:val="both"/>
        <w:rPr>
          <w:rFonts w:ascii="Times New Roman" w:hAnsi="Times New Roman" w:cs="Times New Roman"/>
          <w:color w:val="000000"/>
          <w:sz w:val="26"/>
          <w:szCs w:val="26"/>
        </w:rPr>
      </w:pPr>
    </w:p>
    <w:p w:rsidR="00ED733B" w:rsidRDefault="00ED733B" w:rsidP="00ED733B">
      <w:pPr>
        <w:widowControl w:val="0"/>
        <w:autoSpaceDE w:val="0"/>
        <w:autoSpaceDN w:val="0"/>
        <w:adjustRightInd w:val="0"/>
        <w:spacing w:after="0" w:line="26" w:lineRule="atLeast"/>
        <w:jc w:val="both"/>
        <w:rPr>
          <w:rFonts w:ascii="Times New Roman" w:hAnsi="Times New Roman" w:cs="Times New Roman"/>
          <w:color w:val="000000"/>
          <w:sz w:val="26"/>
          <w:szCs w:val="26"/>
        </w:rPr>
      </w:pPr>
    </w:p>
    <w:p w:rsidR="00ED733B" w:rsidRDefault="00ED733B" w:rsidP="00ED733B">
      <w:pPr>
        <w:widowControl w:val="0"/>
        <w:autoSpaceDE w:val="0"/>
        <w:autoSpaceDN w:val="0"/>
        <w:adjustRightInd w:val="0"/>
        <w:spacing w:after="0" w:line="26" w:lineRule="atLeast"/>
        <w:jc w:val="both"/>
        <w:rPr>
          <w:rFonts w:ascii="Times New Roman" w:hAnsi="Times New Roman" w:cs="Times New Roman"/>
          <w:color w:val="000000"/>
          <w:sz w:val="26"/>
          <w:szCs w:val="26"/>
        </w:rPr>
      </w:pPr>
    </w:p>
    <w:p w:rsidR="00ED733B" w:rsidRDefault="00ED733B" w:rsidP="00ED733B">
      <w:pPr>
        <w:widowControl w:val="0"/>
        <w:autoSpaceDE w:val="0"/>
        <w:autoSpaceDN w:val="0"/>
        <w:adjustRightInd w:val="0"/>
        <w:spacing w:after="0" w:line="26" w:lineRule="atLeast"/>
        <w:jc w:val="both"/>
        <w:rPr>
          <w:rFonts w:ascii="Times New Roman" w:hAnsi="Times New Roman" w:cs="Times New Roman"/>
          <w:color w:val="000000"/>
          <w:sz w:val="26"/>
          <w:szCs w:val="26"/>
        </w:rPr>
      </w:pPr>
    </w:p>
    <w:p w:rsidR="00ED733B" w:rsidRDefault="00ED733B" w:rsidP="00ED733B">
      <w:pPr>
        <w:widowControl w:val="0"/>
        <w:autoSpaceDE w:val="0"/>
        <w:autoSpaceDN w:val="0"/>
        <w:adjustRightInd w:val="0"/>
        <w:spacing w:after="0" w:line="26" w:lineRule="atLeast"/>
        <w:jc w:val="both"/>
        <w:rPr>
          <w:rFonts w:ascii="Times New Roman" w:hAnsi="Times New Roman" w:cs="Times New Roman"/>
          <w:color w:val="000000"/>
          <w:sz w:val="26"/>
          <w:szCs w:val="26"/>
        </w:rPr>
      </w:pPr>
    </w:p>
    <w:p w:rsidR="00A0444E" w:rsidRDefault="00A0444E"/>
    <w:sectPr w:rsidR="00A0444E" w:rsidSect="00C82F7E">
      <w:pgSz w:w="11906" w:h="16838"/>
      <w:pgMar w:top="1440" w:right="1440"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D733B"/>
    <w:rsid w:val="00A0444E"/>
    <w:rsid w:val="00ED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33B"/>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D733B"/>
    <w:pPr>
      <w:spacing w:before="100" w:beforeAutospacing="1" w:after="100" w:afterAutospacing="1" w:line="240" w:lineRule="auto"/>
    </w:pPr>
    <w:rPr>
      <w:rFonts w:ascii="Times New Roman" w:eastAsia="Calibri"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HaTCKT</dc:creator>
  <cp:lastModifiedBy>HaTCKT</cp:lastModifiedBy>
  <cp:revision>1</cp:revision>
  <dcterms:created xsi:type="dcterms:W3CDTF">2018-03-15T08:29:00Z</dcterms:created>
  <dcterms:modified xsi:type="dcterms:W3CDTF">2018-03-15T08:29:00Z</dcterms:modified>
</cp:coreProperties>
</file>